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Quick Reference on Education Requirements for</w:t>
      </w:r>
    </w:p>
    <w:p w:rsidR="00000000" w:rsidDel="00000000" w:rsidP="00000000" w:rsidRDefault="00000000" w:rsidRPr="00000000" w14:paraId="00000002">
      <w:pP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New &amp; Existing Board of Directors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Division of Condominiums, Timeshares and Mobile Homes (CTMH) within the Florida Department of Business and Professional Regulation (DBPR) is responsible for educating Florida’s condominium, HOA, cooperative, and mobile home associations. The Division provides free educational resources, including the required 4-hour Board Member Certification Course, and oversees the approval of third-party certification and continuing education programs.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Click </w:t>
      </w:r>
      <w:hyperlink r:id="rId7">
        <w:r w:rsidDel="00000000" w:rsidR="00000000" w:rsidRPr="00000000">
          <w:rPr>
            <w:rFonts w:ascii="Calibri" w:cs="Calibri" w:eastAsia="Calibri" w:hAnsi="Calibri"/>
            <w:b w:val="1"/>
            <w:bCs w:val="1"/>
            <w:i w:val="0"/>
            <w:iCs w:val="0"/>
            <w:smallCaps w:val="0"/>
            <w:strike w:val="0"/>
            <w:color w:val="467886"/>
            <w:sz w:val="28"/>
            <w:szCs w:val="28"/>
            <w:u w:val="single"/>
            <w:shd w:fill="auto" w:val="clear"/>
            <w:vertAlign w:val="baseline"/>
            <w:rtl w:val="0"/>
          </w:rPr>
          <w:t xml:space="preserve">HERE</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for the Education section on DBPR</w:t>
      </w:r>
    </w:p>
    <w:tbl>
      <w:tblPr>
        <w:tblStyle w:val="Table1"/>
        <w:tblW w:w="106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5220"/>
        <w:tblGridChange w:id="0">
          <w:tblGrid>
            <w:gridCol w:w="5400"/>
            <w:gridCol w:w="5220"/>
          </w:tblGrid>
        </w:tblGridChange>
      </w:tblGrid>
      <w:tr>
        <w:trPr>
          <w:cantSplit w:val="0"/>
          <w:tblHeader w:val="0"/>
        </w:trPr>
        <w:tc>
          <w:tcPr>
            <w:shd w:fill="dae9f7" w:val="clear"/>
          </w:tcPr>
          <w:p w:rsidR="00000000" w:rsidDel="00000000" w:rsidP="00000000" w:rsidRDefault="00000000" w:rsidRPr="00000000" w14:paraId="00000005">
            <w:pPr>
              <w:jc w:val="center"/>
              <w:rPr>
                <w:b w:val="1"/>
                <w:bCs w:val="1"/>
              </w:rPr>
            </w:pPr>
            <w:r w:rsidDel="00000000" w:rsidR="00000000" w:rsidRPr="00000000">
              <w:rPr>
                <w:b w:val="1"/>
                <w:bCs w:val="1"/>
                <w:rtl w:val="0"/>
              </w:rPr>
              <w:t xml:space="preserve">Requirements for </w:t>
            </w:r>
            <w:r w:rsidDel="00000000" w:rsidR="00000000" w:rsidRPr="00000000">
              <w:rPr>
                <w:b w:val="1"/>
                <w:bCs w:val="1"/>
                <w:sz w:val="32"/>
                <w:szCs w:val="32"/>
                <w:u w:val="single"/>
                <w:rtl w:val="0"/>
              </w:rPr>
              <w:t xml:space="preserve">Condominium</w:t>
            </w:r>
            <w:r w:rsidDel="00000000" w:rsidR="00000000" w:rsidRPr="00000000">
              <w:rPr>
                <w:b w:val="1"/>
                <w:bCs w:val="1"/>
                <w:rtl w:val="0"/>
              </w:rPr>
              <w:t xml:space="preserve"> Association Board Members</w:t>
            </w:r>
          </w:p>
        </w:tc>
        <w:tc>
          <w:tcPr>
            <w:shd w:fill="c1f0c8" w:val="clear"/>
          </w:tcPr>
          <w:p w:rsidR="00000000" w:rsidDel="00000000" w:rsidP="00000000" w:rsidRDefault="00000000" w:rsidRPr="00000000" w14:paraId="00000006">
            <w:pPr>
              <w:jc w:val="center"/>
              <w:rPr>
                <w:b w:val="1"/>
                <w:bCs w:val="1"/>
              </w:rPr>
            </w:pPr>
            <w:r w:rsidDel="00000000" w:rsidR="00000000" w:rsidRPr="00000000">
              <w:rPr>
                <w:b w:val="1"/>
                <w:bCs w:val="1"/>
                <w:rtl w:val="0"/>
              </w:rPr>
              <w:t xml:space="preserve">Requirements for </w:t>
            </w:r>
            <w:r w:rsidDel="00000000" w:rsidR="00000000" w:rsidRPr="00000000">
              <w:rPr>
                <w:b w:val="1"/>
                <w:bCs w:val="1"/>
                <w:sz w:val="28"/>
                <w:szCs w:val="28"/>
                <w:u w:val="single"/>
                <w:rtl w:val="0"/>
              </w:rPr>
              <w:t xml:space="preserve">HOA</w:t>
            </w:r>
            <w:r w:rsidDel="00000000" w:rsidR="00000000" w:rsidRPr="00000000">
              <w:rPr>
                <w:b w:val="1"/>
                <w:bCs w:val="1"/>
                <w:rtl w:val="0"/>
              </w:rPr>
              <w:t xml:space="preserve"> Board Members</w:t>
            </w:r>
          </w:p>
          <w:p w:rsidR="00000000" w:rsidDel="00000000" w:rsidP="00000000" w:rsidRDefault="00000000" w:rsidRPr="00000000" w14:paraId="00000007">
            <w:pPr>
              <w:jc w:val="cente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after="160" w:line="278.00000000000006" w:lineRule="auto"/>
              <w:jc w:val="center"/>
              <w:rPr>
                <w:sz w:val="22"/>
                <w:szCs w:val="22"/>
              </w:rPr>
            </w:pPr>
            <w:r w:rsidDel="00000000" w:rsidR="00000000" w:rsidRPr="00000000">
              <w:rPr>
                <w:b w:val="1"/>
                <w:bCs w:val="1"/>
                <w:sz w:val="22"/>
                <w:szCs w:val="22"/>
                <w:rtl w:val="0"/>
              </w:rPr>
              <w:t xml:space="preserve">(Effective for directors elected or appointed on or after July 1, 2024)</w:t>
            </w:r>
            <w:r w:rsidDel="00000000" w:rsidR="00000000" w:rsidRPr="00000000">
              <w:rPr>
                <w:rtl w:val="0"/>
              </w:rPr>
            </w:r>
          </w:p>
          <w:p w:rsidR="00000000" w:rsidDel="00000000" w:rsidP="00000000" w:rsidRDefault="00000000" w:rsidRPr="00000000" w14:paraId="00000009">
            <w:pPr>
              <w:spacing w:after="160" w:lineRule="auto"/>
              <w:rPr>
                <w:b w:val="1"/>
                <w:bCs w:val="1"/>
                <w:sz w:val="22"/>
                <w:szCs w:val="22"/>
              </w:rPr>
            </w:pPr>
            <w:r w:rsidDel="00000000" w:rsidR="00000000" w:rsidRPr="00000000">
              <w:rPr>
                <w:b w:val="1"/>
                <w:bCs w:val="1"/>
                <w:sz w:val="22"/>
                <w:szCs w:val="22"/>
                <w:rtl w:val="0"/>
              </w:rPr>
              <w:t xml:space="preserve">4-Hour Board Member Certification Course</w:t>
            </w:r>
          </w:p>
          <w:p w:rsidR="00000000" w:rsidDel="00000000" w:rsidP="00000000" w:rsidRDefault="00000000" w:rsidRPr="00000000" w14:paraId="0000000A">
            <w:pPr>
              <w:spacing w:after="160" w:lineRule="auto"/>
              <w:rPr>
                <w:i w:val="1"/>
                <w:iCs w:val="1"/>
                <w:sz w:val="22"/>
                <w:szCs w:val="22"/>
              </w:rPr>
            </w:pPr>
            <w:r w:rsidDel="00000000" w:rsidR="00000000" w:rsidRPr="00000000">
              <w:rPr>
                <w:sz w:val="22"/>
                <w:szCs w:val="22"/>
                <w:rtl w:val="0"/>
              </w:rPr>
              <w:t xml:space="preserve">All condominium directors </w:t>
            </w:r>
            <w:r w:rsidDel="00000000" w:rsidR="00000000" w:rsidRPr="00000000">
              <w:rPr>
                <w:i w:val="1"/>
                <w:iCs w:val="1"/>
                <w:sz w:val="22"/>
                <w:szCs w:val="22"/>
                <w:rtl w:val="0"/>
              </w:rPr>
              <w:t xml:space="preserve">must</w:t>
            </w:r>
            <w:r w:rsidDel="00000000" w:rsidR="00000000" w:rsidRPr="00000000">
              <w:rPr>
                <w:sz w:val="22"/>
                <w:szCs w:val="22"/>
                <w:rtl w:val="0"/>
              </w:rPr>
              <w:t xml:space="preserve"> complete a 4-hour certification course within </w:t>
            </w:r>
            <w:r w:rsidDel="00000000" w:rsidR="00000000" w:rsidRPr="00000000">
              <w:rPr>
                <w:sz w:val="22"/>
                <w:szCs w:val="22"/>
                <w:u w:val="single"/>
                <w:rtl w:val="0"/>
              </w:rPr>
              <w:t xml:space="preserve">90 days</w:t>
            </w:r>
            <w:r w:rsidDel="00000000" w:rsidR="00000000" w:rsidRPr="00000000">
              <w:rPr>
                <w:sz w:val="22"/>
                <w:szCs w:val="22"/>
                <w:rtl w:val="0"/>
              </w:rPr>
              <w:t xml:space="preserve"> of being elected or appointed.</w:t>
              <w:br w:type="textWrapping"/>
            </w:r>
            <w:r w:rsidDel="00000000" w:rsidR="00000000" w:rsidRPr="00000000">
              <w:rPr>
                <w:b w:val="1"/>
                <w:bCs w:val="1"/>
                <w:sz w:val="22"/>
                <w:szCs w:val="22"/>
                <w:rtl w:val="0"/>
              </w:rPr>
              <w:t xml:space="preserve">COURSE</w:t>
            </w:r>
            <w:r w:rsidDel="00000000" w:rsidR="00000000" w:rsidRPr="00000000">
              <w:rPr>
                <w:sz w:val="22"/>
                <w:szCs w:val="22"/>
                <w:rtl w:val="0"/>
              </w:rPr>
              <w:t xml:space="preserve"> must cover: </w:t>
            </w:r>
            <w:r w:rsidDel="00000000" w:rsidR="00000000" w:rsidRPr="00000000">
              <w:rPr>
                <w:i w:val="1"/>
                <w:iCs w:val="1"/>
                <w:sz w:val="22"/>
                <w:szCs w:val="22"/>
                <w:rtl w:val="0"/>
              </w:rPr>
              <w:t xml:space="preserve">Milestone inspections, Structural integrity reserve studies, Elections, Recordkeeping requirements, financial literacy &amp; transparency, levying of fines, Notice &amp; meeting requirements.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2"/>
                <w:szCs w:val="22"/>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Validity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Certification is valid for 7 years.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 course does not need to be retaken during the 7-year period as long as the director serves without interruption.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If service exceeds 7 years, directors must complete the course again after expiration.</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2"/>
                <w:szCs w:val="22"/>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Annual Continuing Education Requirement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addition to the certification course, directors must complete: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1-hour annual</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continuing education course,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-Covering changes during the past year to Chapter 718, F.S., and related administrative rules.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-This CEU must be completed within one year after certification and every year thereafter.</w:t>
            </w:r>
          </w:p>
        </w:tc>
        <w:tc>
          <w:tcPr/>
          <w:p w:rsidR="00000000" w:rsidDel="00000000" w:rsidP="00000000" w:rsidRDefault="00000000" w:rsidRPr="00000000" w14:paraId="00000015">
            <w:pPr>
              <w:spacing w:after="160" w:line="278.00000000000006" w:lineRule="auto"/>
              <w:jc w:val="center"/>
              <w:rPr>
                <w:sz w:val="22"/>
                <w:szCs w:val="22"/>
              </w:rPr>
            </w:pPr>
            <w:r w:rsidDel="00000000" w:rsidR="00000000" w:rsidRPr="00000000">
              <w:rPr>
                <w:b w:val="1"/>
                <w:bCs w:val="1"/>
                <w:sz w:val="22"/>
                <w:szCs w:val="22"/>
                <w:rtl w:val="0"/>
              </w:rPr>
              <w:t xml:space="preserve">(Effective for directors elected or appointed on or after July 1, 2024)</w:t>
            </w:r>
            <w:r w:rsidDel="00000000" w:rsidR="00000000" w:rsidRPr="00000000">
              <w:rPr>
                <w:rtl w:val="0"/>
              </w:rPr>
            </w:r>
          </w:p>
          <w:p w:rsidR="00000000" w:rsidDel="00000000" w:rsidP="00000000" w:rsidRDefault="00000000" w:rsidRPr="00000000" w14:paraId="00000016">
            <w:pPr>
              <w:spacing w:after="160" w:lineRule="auto"/>
              <w:rPr>
                <w:b w:val="1"/>
                <w:bCs w:val="1"/>
                <w:sz w:val="22"/>
                <w:szCs w:val="22"/>
              </w:rPr>
            </w:pPr>
            <w:r w:rsidDel="00000000" w:rsidR="00000000" w:rsidRPr="00000000">
              <w:rPr>
                <w:b w:val="1"/>
                <w:bCs w:val="1"/>
                <w:sz w:val="22"/>
                <w:szCs w:val="22"/>
                <w:rtl w:val="0"/>
              </w:rPr>
              <w:t xml:space="preserve">4-Hour Board Member Certification Course</w:t>
            </w:r>
          </w:p>
          <w:p w:rsidR="00000000" w:rsidDel="00000000" w:rsidP="00000000" w:rsidRDefault="00000000" w:rsidRPr="00000000" w14:paraId="00000017">
            <w:pPr>
              <w:spacing w:after="160" w:lineRule="auto"/>
              <w:rPr>
                <w:i w:val="1"/>
                <w:iCs w:val="1"/>
                <w:sz w:val="22"/>
                <w:szCs w:val="22"/>
              </w:rPr>
            </w:pPr>
            <w:r w:rsidDel="00000000" w:rsidR="00000000" w:rsidRPr="00000000">
              <w:rPr>
                <w:sz w:val="22"/>
                <w:szCs w:val="22"/>
                <w:rtl w:val="0"/>
              </w:rPr>
              <w:t xml:space="preserve">All condominium directors </w:t>
            </w:r>
            <w:r w:rsidDel="00000000" w:rsidR="00000000" w:rsidRPr="00000000">
              <w:rPr>
                <w:i w:val="1"/>
                <w:iCs w:val="1"/>
                <w:sz w:val="22"/>
                <w:szCs w:val="22"/>
                <w:rtl w:val="0"/>
              </w:rPr>
              <w:t xml:space="preserve">must</w:t>
            </w:r>
            <w:r w:rsidDel="00000000" w:rsidR="00000000" w:rsidRPr="00000000">
              <w:rPr>
                <w:sz w:val="22"/>
                <w:szCs w:val="22"/>
                <w:rtl w:val="0"/>
              </w:rPr>
              <w:t xml:space="preserve"> complete a 4-hour certification course within </w:t>
            </w:r>
            <w:r w:rsidDel="00000000" w:rsidR="00000000" w:rsidRPr="00000000">
              <w:rPr>
                <w:sz w:val="22"/>
                <w:szCs w:val="22"/>
                <w:u w:val="single"/>
                <w:rtl w:val="0"/>
              </w:rPr>
              <w:t xml:space="preserve">90 days</w:t>
            </w:r>
            <w:r w:rsidDel="00000000" w:rsidR="00000000" w:rsidRPr="00000000">
              <w:rPr>
                <w:sz w:val="22"/>
                <w:szCs w:val="22"/>
                <w:rtl w:val="0"/>
              </w:rPr>
              <w:t xml:space="preserve"> of being elected or appointed.</w:t>
              <w:br w:type="textWrapping"/>
            </w:r>
            <w:r w:rsidDel="00000000" w:rsidR="00000000" w:rsidRPr="00000000">
              <w:rPr>
                <w:b w:val="1"/>
                <w:bCs w:val="1"/>
                <w:sz w:val="22"/>
                <w:szCs w:val="22"/>
                <w:rtl w:val="0"/>
              </w:rPr>
              <w:t xml:space="preserve">COURSE</w:t>
            </w:r>
            <w:r w:rsidDel="00000000" w:rsidR="00000000" w:rsidRPr="00000000">
              <w:rPr>
                <w:sz w:val="22"/>
                <w:szCs w:val="22"/>
                <w:rtl w:val="0"/>
              </w:rPr>
              <w:t xml:space="preserve"> must cover: </w:t>
            </w:r>
            <w:r w:rsidDel="00000000" w:rsidR="00000000" w:rsidRPr="00000000">
              <w:rPr>
                <w:i w:val="1"/>
                <w:iCs w:val="1"/>
                <w:sz w:val="22"/>
                <w:szCs w:val="22"/>
                <w:rtl w:val="0"/>
              </w:rPr>
              <w:t xml:space="preserve">Milestone inspections, Structural integrity reserve studies, Elections, Recordkeeping requirements, financial literacy &amp; transparency, levying of fines, Notice &amp; meeting requirements.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2"/>
                <w:szCs w:val="22"/>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Validity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Certification is valid for 4 years.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 course does not need to be retaken during the 7-year period as long as the director serves without interruption.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If service exceeds 4 years, directors must complete the course again after expiration.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2"/>
                <w:szCs w:val="22"/>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Annual Continuing Education Requirement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addition to the certification course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 director of an HOA with FEWER than 2,500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parcels must complete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4 hours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of continuing education annually.</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 director of an HOA with MORE than 2,500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parcels must complete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8 hours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of continuing education annually.</w:t>
            </w: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hyperlink r:id="rId8">
        <w:r w:rsidDel="00000000" w:rsidR="00000000" w:rsidRPr="00000000">
          <w:rPr>
            <w:rFonts w:ascii="Aptos" w:cs="Aptos" w:eastAsia="Aptos" w:hAnsi="Aptos"/>
            <w:b w:val="1"/>
            <w:bCs w:val="1"/>
            <w:i w:val="0"/>
            <w:iCs w:val="0"/>
            <w:smallCaps w:val="0"/>
            <w:strike w:val="0"/>
            <w:color w:val="467886"/>
            <w:sz w:val="22"/>
            <w:szCs w:val="22"/>
            <w:u w:val="single"/>
            <w:shd w:fill="auto" w:val="clear"/>
            <w:vertAlign w:val="baseline"/>
            <w:rtl w:val="0"/>
          </w:rPr>
          <w:t xml:space="preserve">CLICK HERE</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to sign up with a provider of your choice to complete your education requirements.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Reach out to your manager with any questions.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yellow"/>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yellow"/>
          <w:u w:val="none"/>
          <w:vertAlign w:val="baseline"/>
          <w:rtl w:val="0"/>
        </w:rPr>
        <w:t xml:space="preserve">In addition, ALL BOD members are required to sign a</w:t>
      </w:r>
      <w:r w:rsidDel="00000000" w:rsidR="00000000" w:rsidRPr="00000000">
        <w:rPr>
          <w:i w:val="1"/>
          <w:iCs w:val="1"/>
          <w:sz w:val="22"/>
          <w:szCs w:val="22"/>
          <w:highlight w:val="yellow"/>
          <w:rtl w:val="0"/>
        </w:rPr>
        <w:t xml:space="preserve">n affidavit </w:t>
      </w:r>
      <w:r w:rsidDel="00000000" w:rsidR="00000000" w:rsidRPr="00000000">
        <w:rPr>
          <w:rFonts w:ascii="Aptos" w:cs="Aptos" w:eastAsia="Aptos" w:hAnsi="Aptos"/>
          <w:b w:val="0"/>
          <w:bCs w:val="0"/>
          <w:i w:val="1"/>
          <w:iCs w:val="1"/>
          <w:smallCaps w:val="0"/>
          <w:strike w:val="0"/>
          <w:color w:val="000000"/>
          <w:sz w:val="22"/>
          <w:szCs w:val="22"/>
          <w:highlight w:val="yellow"/>
          <w:u w:val="none"/>
          <w:vertAlign w:val="baseline"/>
          <w:rtl w:val="0"/>
        </w:rPr>
        <w:t xml:space="preserve">confirming they have reviewed the Association Documents. Management will provide this certificate via electronic signature.  </w:t>
      </w:r>
    </w:p>
    <w:sectPr>
      <w:headerReference r:id="rId9" w:type="default"/>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3937060" cy="643137"/>
          <wp:effectExtent b="0" l="0" r="0" t="0"/>
          <wp:docPr descr="DBPR Condominium Information and Resources Logo" id="1430397246" name="image1.png"/>
          <a:graphic>
            <a:graphicData uri="http://schemas.openxmlformats.org/drawingml/2006/picture">
              <pic:pic>
                <pic:nvPicPr>
                  <pic:cNvPr descr="DBPR Condominium Information and Resources Logo" id="0" name="image1.png"/>
                  <pic:cNvPicPr preferRelativeResize="0"/>
                </pic:nvPicPr>
                <pic:blipFill>
                  <a:blip r:embed="rId1"/>
                  <a:srcRect b="0" l="0" r="0" t="0"/>
                  <a:stretch>
                    <a:fillRect/>
                  </a:stretch>
                </pic:blipFill>
                <pic:spPr>
                  <a:xfrm>
                    <a:off x="0" y="0"/>
                    <a:ext cx="3937060" cy="64313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C271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271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271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271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271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5C271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271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271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271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271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271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271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271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271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C271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2714"/>
    <w:rPr>
      <w:i w:val="1"/>
      <w:iCs w:val="1"/>
      <w:color w:val="404040" w:themeColor="text1" w:themeTint="0000BF"/>
    </w:rPr>
  </w:style>
  <w:style w:type="paragraph" w:styleId="ListParagraph">
    <w:name w:val="List Paragraph"/>
    <w:basedOn w:val="Normal"/>
    <w:uiPriority w:val="34"/>
    <w:qFormat w:val="1"/>
    <w:rsid w:val="005C2714"/>
    <w:pPr>
      <w:ind w:left="720"/>
      <w:contextualSpacing w:val="1"/>
    </w:pPr>
  </w:style>
  <w:style w:type="character" w:styleId="IntenseEmphasis">
    <w:name w:val="Intense Emphasis"/>
    <w:basedOn w:val="DefaultParagraphFont"/>
    <w:uiPriority w:val="21"/>
    <w:qFormat w:val="1"/>
    <w:rsid w:val="005C2714"/>
    <w:rPr>
      <w:i w:val="1"/>
      <w:iCs w:val="1"/>
      <w:color w:val="0f4761" w:themeColor="accent1" w:themeShade="0000BF"/>
    </w:rPr>
  </w:style>
  <w:style w:type="paragraph" w:styleId="IntenseQuote">
    <w:name w:val="Intense Quote"/>
    <w:basedOn w:val="Normal"/>
    <w:next w:val="Normal"/>
    <w:link w:val="IntenseQuoteChar"/>
    <w:uiPriority w:val="30"/>
    <w:qFormat w:val="1"/>
    <w:rsid w:val="005C271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2714"/>
    <w:rPr>
      <w:i w:val="1"/>
      <w:iCs w:val="1"/>
      <w:color w:val="0f4761" w:themeColor="accent1" w:themeShade="0000BF"/>
    </w:rPr>
  </w:style>
  <w:style w:type="character" w:styleId="IntenseReference">
    <w:name w:val="Intense Reference"/>
    <w:basedOn w:val="DefaultParagraphFont"/>
    <w:uiPriority w:val="32"/>
    <w:qFormat w:val="1"/>
    <w:rsid w:val="005C2714"/>
    <w:rPr>
      <w:b w:val="1"/>
      <w:bCs w:val="1"/>
      <w:smallCaps w:val="1"/>
      <w:color w:val="0f4761" w:themeColor="accent1" w:themeShade="0000BF"/>
      <w:spacing w:val="5"/>
    </w:rPr>
  </w:style>
  <w:style w:type="paragraph" w:styleId="Header">
    <w:name w:val="header"/>
    <w:basedOn w:val="Normal"/>
    <w:link w:val="HeaderChar"/>
    <w:uiPriority w:val="99"/>
    <w:unhideWhenUsed w:val="1"/>
    <w:rsid w:val="005C27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2714"/>
  </w:style>
  <w:style w:type="paragraph" w:styleId="Footer">
    <w:name w:val="footer"/>
    <w:basedOn w:val="Normal"/>
    <w:link w:val="FooterChar"/>
    <w:uiPriority w:val="99"/>
    <w:unhideWhenUsed w:val="1"/>
    <w:rsid w:val="005C27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2714"/>
  </w:style>
  <w:style w:type="character" w:styleId="Hyperlink">
    <w:name w:val="Hyperlink"/>
    <w:basedOn w:val="DefaultParagraphFont"/>
    <w:uiPriority w:val="99"/>
    <w:unhideWhenUsed w:val="1"/>
    <w:rsid w:val="005C2714"/>
    <w:rPr>
      <w:color w:val="467886" w:themeColor="hyperlink"/>
      <w:u w:val="single"/>
    </w:rPr>
  </w:style>
  <w:style w:type="character" w:styleId="UnresolvedMention">
    <w:name w:val="Unresolved Mention"/>
    <w:basedOn w:val="DefaultParagraphFont"/>
    <w:uiPriority w:val="99"/>
    <w:semiHidden w:val="1"/>
    <w:unhideWhenUsed w:val="1"/>
    <w:rsid w:val="005C2714"/>
    <w:rPr>
      <w:color w:val="605e5c"/>
      <w:shd w:color="auto" w:fill="e1dfdd" w:val="clear"/>
    </w:rPr>
  </w:style>
  <w:style w:type="table" w:styleId="TableGrid">
    <w:name w:val="Table Grid"/>
    <w:basedOn w:val="TableNormal"/>
    <w:uiPriority w:val="39"/>
    <w:rsid w:val="005C271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362418"/>
    <w:pPr>
      <w:spacing w:after="0" w:line="240" w:lineRule="auto"/>
    </w:p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dos.myfloridalicense.com/education/" TargetMode="External"/><Relationship Id="rId8" Type="http://schemas.openxmlformats.org/officeDocument/2006/relationships/hyperlink" Target="https://www2.myfloridalicense.com/lsc/documents/ListofApprovedProvider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7o81vXDHAhE3XLRRAaFrvSTgg==">CgMxLjA4AHIhMWFNQ2p0RnEtcFJNRUNZV2x1UXpRZ1FhRGEzaW9ZNW5l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2025-11-15T16:06:00Z</dcterms:created>
  <dc:creator>Tiziana Marquez</dc:creator>
</cp:coreProperties>
</file>